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1" w:rsidRDefault="00B11D1C">
      <w:r>
        <w:t>Carta mencionada na palestra Pr. Gilson</w:t>
      </w:r>
    </w:p>
    <w:p w:rsidR="00B11D1C" w:rsidRDefault="00B11D1C" w:rsidP="00B11D1C">
      <w:pPr>
        <w:spacing w:before="100" w:beforeAutospacing="1" w:after="100" w:afterAutospacing="1"/>
        <w:jc w:val="center"/>
      </w:pPr>
      <w:r>
        <w:rPr>
          <w:b/>
          <w:bCs/>
          <w:sz w:val="34"/>
          <w:szCs w:val="34"/>
        </w:rPr>
        <w:t>Proteja seus filhos da ideologia de gênero</w:t>
      </w:r>
    </w:p>
    <w:p w:rsidR="00B11D1C" w:rsidRDefault="00B11D1C" w:rsidP="00B11D1C">
      <w:pPr>
        <w:spacing w:before="100" w:beforeAutospacing="1" w:after="100" w:afterAutospacing="1"/>
        <w:jc w:val="center"/>
      </w:pPr>
      <w:r>
        <w:rPr>
          <w:i/>
          <w:iCs/>
        </w:rPr>
        <w:t>(</w:t>
      </w:r>
      <w:proofErr w:type="gramStart"/>
      <w:r>
        <w:rPr>
          <w:i/>
          <w:iCs/>
        </w:rPr>
        <w:t>pais</w:t>
      </w:r>
      <w:proofErr w:type="gramEnd"/>
      <w:r>
        <w:rPr>
          <w:i/>
          <w:iCs/>
        </w:rPr>
        <w:t xml:space="preserve"> reagem com sucesso junto ao Poder Judiciário)</w:t>
      </w:r>
    </w:p>
    <w:p w:rsidR="00B11D1C" w:rsidRDefault="00B11D1C" w:rsidP="00B11D1C">
      <w:pPr>
        <w:spacing w:before="100" w:beforeAutospacing="1" w:after="240"/>
        <w:jc w:val="center"/>
      </w:pPr>
      <w:r>
        <w:t>[</w:t>
      </w:r>
      <w:hyperlink r:id="rId4" w:tgtFrame="_blank" w:history="1">
        <w:r>
          <w:rPr>
            <w:rStyle w:val="Hyperlink"/>
          </w:rPr>
          <w:t>www.providaanapolis.org.br</w:t>
        </w:r>
      </w:hyperlink>
      <w:r>
        <w:t>]</w:t>
      </w:r>
    </w:p>
    <w:p w:rsidR="00B11D1C" w:rsidRDefault="00B11D1C" w:rsidP="00B11D1C">
      <w:pPr>
        <w:spacing w:before="100" w:beforeAutospacing="1" w:after="100" w:afterAutospacing="1"/>
        <w:jc w:val="center"/>
      </w:pPr>
      <w:r>
        <w:t> 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color w:val="330033"/>
        </w:rPr>
        <w:t>Depois de uma terrível derrota no Congresso Nacional, a presidente Dilma sancionou a Lei nº 13.005, de 25 de junho de 2014, que aprova o Plano Nacional de Educação (PNE), sem qualquer referência à ideologia de gênero de que estava impregnado o texto original por ela enviado à Câmara (Projeto de Lei 8035/2010). No entanto, o PT não é bom perdedor. Inconformado por não ter podido inserir o “gênero” no Plano Nacional, o Ministério da Educação, por meio do Fórum Nacional de Educação, organizou uma Conferência Nacional de Educação, de 19 a 23 de novembro de 2014, e disponibilizou um documento final para servir de base na elaboração dos Planos Estaduais, Distrital e Municipais de Educação</w:t>
      </w:r>
      <w:hyperlink w:anchor="150596b266b825ac__ftn1" w:tooltip="" w:history="1">
        <w:r>
          <w:rPr>
            <w:rStyle w:val="Hyperlink"/>
            <w:color w:val="330033"/>
            <w:sz w:val="20"/>
            <w:szCs w:val="20"/>
          </w:rPr>
          <w:t>[1]</w:t>
        </w:r>
      </w:hyperlink>
      <w:bookmarkStart w:id="0" w:name="150596b266b825ac__ftnref1"/>
      <w:bookmarkEnd w:id="0"/>
      <w:r>
        <w:rPr>
          <w:color w:val="330033"/>
        </w:rPr>
        <w:t xml:space="preserve">. Ora, em tal documento, de 114 páginas, aparece 46 vezes a palavra “gênero”, nove vezes a palavra “homofobia”, sete vezes a expressão “diversidade sexual” e 16 vezes o termo “orientação sexual”. No ano 2015, os militantes pró-família esforçaram-se por instruir os deputados estaduais, distritais e os vereadores a fim de que expurgassem aquela espúria ideologia que novamente se pretendia implantar nas escolas estaduais e municipais. Grande foi a participação dos Bispos (inclusive de Dom João </w:t>
      </w:r>
      <w:proofErr w:type="spellStart"/>
      <w:r>
        <w:rPr>
          <w:color w:val="330033"/>
        </w:rPr>
        <w:t>Wilk</w:t>
      </w:r>
      <w:proofErr w:type="spellEnd"/>
      <w:r>
        <w:rPr>
          <w:color w:val="330033"/>
        </w:rPr>
        <w:t>, Bispo de Anápolis) na advertência aos cidadãos e aos políticos. Pela primeira vez em tantos anos, vimos o Brasil acordar para o perigo da ideologia de gênero. E assim, também em nível estadual e municipal, o governo experimentou, em sua grande maioria, uma amarga derrota.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t>No entanto, seria ingênuo pensar que, com o “gênero” fora do Plano Nacional de Educação, e também fora dos Planos Estaduais e Municipais de Educação, as escolas estariam doravante imunizadas contra essa doutrina. De maneira alguma! Os ideólogos de gênero perderam a glória de terem seus postulados escritos nos planos de educação, mas não perderam o desejo obsessivo de corromper as crianças e os adolescentes em sala de aula.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t>Por isso, cabe aos pais redobrar a vigilância sobre o conteúdo que as escolas pretendem ensinar a seus filhos. Convém lembrar o caso de uma escola de Taguatinga (DF) que foi condenada a indenizar em R$ 30.000,00 uma aluna por ter permitido que ela tivesse acesso, na biblioteca da instituição de ensino, a um livro de conteúdo pornográfico. Na época, a menina cursava a quinta série e tinha apenas onze anos</w:t>
      </w:r>
      <w:hyperlink w:anchor="150596b266b825ac__ftn2" w:tooltip="" w:history="1">
        <w:r>
          <w:rPr>
            <w:rStyle w:val="Hyperlink"/>
            <w:color w:val="000000"/>
            <w:sz w:val="20"/>
            <w:szCs w:val="20"/>
          </w:rPr>
          <w:t>[2]</w:t>
        </w:r>
      </w:hyperlink>
      <w:bookmarkStart w:id="1" w:name="150596b266b825ac__ftnref2"/>
      <w:bookmarkEnd w:id="1"/>
      <w:r>
        <w:t xml:space="preserve">. Note-se que a escola não distribuiu tal material aos alunos nem os utilizou como livro-texto para as aulas. Sua conduta, que motivou a condenação indenizatória, foi simplesmente ter mantido no acervo da biblioteca, em lugar acessível à aluna, material de conteúdo impróprio. Imagine com quanto </w:t>
      </w:r>
      <w:r>
        <w:lastRenderedPageBreak/>
        <w:t>mais razão poderia ser condenada uma escola que usasse tal material para “educar” os alunos em sala de aula!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t>Para socorrer os pais, o Procurador Regional da República em Brasília, Guilherme Schelb</w:t>
      </w:r>
      <w:hyperlink w:anchor="150596b266b825ac__ftn3" w:tooltip="" w:history="1">
        <w:r>
          <w:rPr>
            <w:rStyle w:val="Hyperlink"/>
            <w:color w:val="000000"/>
            <w:sz w:val="20"/>
            <w:szCs w:val="20"/>
          </w:rPr>
          <w:t>[3]</w:t>
        </w:r>
      </w:hyperlink>
      <w:bookmarkStart w:id="2" w:name="150596b266b825ac__ftnref3"/>
      <w:bookmarkEnd w:id="2"/>
      <w:r>
        <w:t xml:space="preserve">, elaborou o seguinte modelo de </w:t>
      </w:r>
      <w:r>
        <w:rPr>
          <w:b/>
          <w:bCs/>
        </w:rPr>
        <w:t>notificação extrajudicial</w:t>
      </w:r>
      <w:hyperlink w:anchor="150596b266b825ac__ftn4" w:tooltip="" w:history="1">
        <w:r>
          <w:rPr>
            <w:rStyle w:val="Hyperlink"/>
            <w:b/>
            <w:bCs/>
            <w:color w:val="000000"/>
            <w:sz w:val="20"/>
            <w:szCs w:val="20"/>
          </w:rPr>
          <w:t>[4]</w:t>
        </w:r>
      </w:hyperlink>
      <w:bookmarkStart w:id="3" w:name="150596b266b825ac__ftnref4"/>
      <w:bookmarkEnd w:id="3"/>
      <w:r>
        <w:t xml:space="preserve"> para ser entregue ao diretor da escola.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2"/>
        </w:rPr>
        <w:t> 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2"/>
        </w:rPr>
        <w:t>- - - - - - - - - - - - - - - - - - - - - - - - - - - - - - - - - - - - - - - - - -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2"/>
        </w:rPr>
        <w:t> 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>** Preencher os dados da família e do aluno.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 xml:space="preserve">Protocolizar na escola de seu filho em três vias.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 xml:space="preserve">- Guardar uma devidamente recebida pelo responsável, com identificação e assinatura.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 xml:space="preserve">- Entregar a outra via recebida para o professor de seu filho.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>- Se seu filho for adolescente, alterar: onde o texto referir a “criança”, digitar “adolescente”.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>NOTIFICAÇÃO EXTRAJUDICIAL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>Ilmo. Sr. Diretor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 xml:space="preserve">Professor _______                             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 xml:space="preserve">Escola ___________                          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>(</w:t>
      </w:r>
      <w:r>
        <w:rPr>
          <w:b/>
          <w:bCs/>
          <w:sz w:val="27"/>
          <w:szCs w:val="27"/>
          <w:u w:val="single"/>
        </w:rPr>
        <w:t>Cidade</w:t>
      </w:r>
      <w:r>
        <w:rPr>
          <w:b/>
          <w:bCs/>
          <w:sz w:val="27"/>
          <w:szCs w:val="27"/>
        </w:rPr>
        <w:t xml:space="preserve">), _____de ___________ </w:t>
      </w:r>
      <w:proofErr w:type="spellStart"/>
      <w:r>
        <w:rPr>
          <w:b/>
          <w:bCs/>
          <w:sz w:val="27"/>
          <w:szCs w:val="27"/>
        </w:rPr>
        <w:t>de</w:t>
      </w:r>
      <w:proofErr w:type="spellEnd"/>
      <w:r>
        <w:rPr>
          <w:b/>
          <w:bCs/>
          <w:sz w:val="27"/>
          <w:szCs w:val="27"/>
        </w:rPr>
        <w:t xml:space="preserve"> 20___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> 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>Sr. Diretor (</w:t>
      </w:r>
      <w:r>
        <w:rPr>
          <w:b/>
          <w:bCs/>
          <w:sz w:val="27"/>
          <w:szCs w:val="27"/>
          <w:u w:val="single"/>
        </w:rPr>
        <w:t>nome completo</w:t>
      </w:r>
      <w:r>
        <w:rPr>
          <w:b/>
          <w:bCs/>
          <w:sz w:val="27"/>
          <w:szCs w:val="27"/>
        </w:rPr>
        <w:t>)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 xml:space="preserve">Sou </w:t>
      </w:r>
      <w:r>
        <w:rPr>
          <w:sz w:val="27"/>
          <w:szCs w:val="27"/>
          <w:u w:val="single"/>
        </w:rPr>
        <w:t>(nome do pai/mãe ou responsável),</w:t>
      </w:r>
      <w:r>
        <w:rPr>
          <w:sz w:val="27"/>
          <w:szCs w:val="27"/>
        </w:rPr>
        <w:t xml:space="preserve"> responsável legal pela criança </w:t>
      </w:r>
      <w:r>
        <w:rPr>
          <w:sz w:val="27"/>
          <w:szCs w:val="27"/>
          <w:u w:val="single"/>
        </w:rPr>
        <w:t>(nome completo</w:t>
      </w:r>
      <w:r>
        <w:rPr>
          <w:sz w:val="27"/>
          <w:szCs w:val="27"/>
        </w:rPr>
        <w:t>), nascida a (</w:t>
      </w:r>
      <w:r>
        <w:rPr>
          <w:sz w:val="27"/>
          <w:szCs w:val="27"/>
          <w:u w:val="single"/>
        </w:rPr>
        <w:t>data</w:t>
      </w:r>
      <w:r>
        <w:rPr>
          <w:sz w:val="27"/>
          <w:szCs w:val="27"/>
        </w:rPr>
        <w:t>), aluno da (</w:t>
      </w:r>
      <w:r>
        <w:rPr>
          <w:sz w:val="27"/>
          <w:szCs w:val="27"/>
          <w:u w:val="single"/>
        </w:rPr>
        <w:t>identificação da classe e série de ensino</w:t>
      </w:r>
      <w:r>
        <w:rPr>
          <w:sz w:val="27"/>
          <w:szCs w:val="27"/>
        </w:rPr>
        <w:t>) desta instituição de ensino.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 xml:space="preserve">Como é de conhecimento público, e certamente também de V.Sa. e dos professores desta escola, há grande debate no Brasil sobre a </w:t>
      </w:r>
      <w:r>
        <w:rPr>
          <w:b/>
          <w:bCs/>
          <w:sz w:val="27"/>
          <w:szCs w:val="27"/>
        </w:rPr>
        <w:t>ideologia de gênero</w:t>
      </w:r>
      <w:r>
        <w:rPr>
          <w:sz w:val="27"/>
          <w:szCs w:val="27"/>
        </w:rPr>
        <w:t xml:space="preserve"> e também sobre outras propostas de apresentação para as </w:t>
      </w:r>
      <w:r>
        <w:rPr>
          <w:sz w:val="27"/>
          <w:szCs w:val="27"/>
        </w:rPr>
        <w:lastRenderedPageBreak/>
        <w:t xml:space="preserve">crianças nas escolas de temas relacionados a comportamentos sexuais especiais (homossexualidade, bissexualidade, </w:t>
      </w:r>
      <w:proofErr w:type="spellStart"/>
      <w:r>
        <w:rPr>
          <w:sz w:val="27"/>
          <w:szCs w:val="27"/>
        </w:rPr>
        <w:t>transexualidade</w:t>
      </w:r>
      <w:proofErr w:type="spellEnd"/>
      <w:r>
        <w:rPr>
          <w:sz w:val="27"/>
          <w:szCs w:val="27"/>
        </w:rPr>
        <w:t>, etc.), bem como questões relativas à sexualidade humana adulta, tais como: prostituição, masturbação e outros diversos atos libidinosos.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>Não concordo com a ideologia de gênero e não autorizo a apresentação destes temas referidos, a meu filho, ainda que de forma ilustrativa ou informativa, seja por qual meio for, vídeo, exposição verbal, música, livro de literatura ou material didático.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 xml:space="preserve">Lembro que, de acordo com o Código Civil Brasileiro, a capacidade civil só é plena para os atos da vida civil aos </w:t>
      </w:r>
      <w:r>
        <w:rPr>
          <w:sz w:val="27"/>
          <w:szCs w:val="27"/>
          <w:u w:val="single"/>
        </w:rPr>
        <w:t>18 anos</w:t>
      </w:r>
      <w:r>
        <w:rPr>
          <w:sz w:val="27"/>
          <w:szCs w:val="27"/>
        </w:rPr>
        <w:t xml:space="preserve">. O Código Penal proíbe a realização ou indução de qualquer relação sexual com pessoa menor de </w:t>
      </w:r>
      <w:r>
        <w:rPr>
          <w:sz w:val="27"/>
          <w:szCs w:val="27"/>
          <w:u w:val="single"/>
        </w:rPr>
        <w:t>14 anos</w:t>
      </w:r>
      <w:r>
        <w:rPr>
          <w:sz w:val="27"/>
          <w:szCs w:val="27"/>
        </w:rPr>
        <w:t xml:space="preserve">, implicando a prática em presunção de violência.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>Estes diversos marcos etários contidos na legislação são importante referencial para a ministração de aulas e abordagem na escola, em relação à idade para a apresentação e abordagem dos temas sobre comportamentos sexuais especiais e autonomia sexual e reprodutiva.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>A Convenção Americana de Direitos Humanos determina que é direito dos pais a formação moral e religiosa de seus filhos (art. 12,4), e o Supremo Tribunal Federal reconhece a eficácia jurídica desta norma no Brasil.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 xml:space="preserve">De acordo com o Código Civil, os pais têm a responsabilidade de sustento material e moral de seus filhos, assim como compete a eles a sua criação e educação (art. </w:t>
      </w:r>
      <w:proofErr w:type="gramStart"/>
      <w:r>
        <w:rPr>
          <w:sz w:val="27"/>
          <w:szCs w:val="27"/>
        </w:rPr>
        <w:t>1.634,I</w:t>
      </w:r>
      <w:proofErr w:type="gramEnd"/>
      <w:r>
        <w:rPr>
          <w:sz w:val="27"/>
          <w:szCs w:val="27"/>
        </w:rPr>
        <w:t>), até porque é ônus dos pais arcar civilmente com o pagamento de indenização pelos atos danosos a terceiros que os filhos praticarem (art. 932,I).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 xml:space="preserve">Por outro lado, a responsabilidade das instituições de ensino é objetiva e independe de culpa. Assim, quem violar, </w:t>
      </w:r>
      <w:r>
        <w:rPr>
          <w:sz w:val="27"/>
          <w:szCs w:val="27"/>
          <w:u w:val="single"/>
        </w:rPr>
        <w:t>inclusive professores</w:t>
      </w:r>
      <w:r>
        <w:rPr>
          <w:sz w:val="27"/>
          <w:szCs w:val="27"/>
        </w:rPr>
        <w:t xml:space="preserve">, por qualquer meio, o direito dos pais na formação moral de seus filhos, pode ser processado por dano moral, sem prejuízo da ação civil por eventuais danos à formação psicológica da criança, pois o ECA exige que toda publicação ou informação dirigida a crianças, </w:t>
      </w:r>
      <w:r>
        <w:rPr>
          <w:sz w:val="27"/>
          <w:szCs w:val="27"/>
          <w:u w:val="single"/>
        </w:rPr>
        <w:t>inclusive livros didáticos</w:t>
      </w:r>
      <w:r>
        <w:rPr>
          <w:sz w:val="27"/>
          <w:szCs w:val="27"/>
        </w:rPr>
        <w:t xml:space="preserve">, respeite os valores éticos da família (art. 79), dada sua fragilidade psicológica, reconhecida e protegida pela Constituição Federal (art. 21, inciso XVI e art. 220 §3º, inciso I).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 xml:space="preserve">Anote-se que toda a rede de ensino (pública ou privada) é subordinada aos princípios anteriormente descritos, inclusive os </w:t>
      </w:r>
      <w:r>
        <w:rPr>
          <w:sz w:val="27"/>
          <w:szCs w:val="27"/>
        </w:rPr>
        <w:lastRenderedPageBreak/>
        <w:t>preconizados pela Constituição Federal e Lei de Diretrizes e Bases da Educação Nacional (lei federal nº 9.394/96), sendo passiveis de controle e repreensão jurisdicional.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 xml:space="preserve">É a presente, assim, para </w:t>
      </w:r>
      <w:r>
        <w:rPr>
          <w:b/>
          <w:bCs/>
          <w:sz w:val="27"/>
          <w:szCs w:val="27"/>
        </w:rPr>
        <w:t>NOTIFICAR V.Sa. e os professores desta escola – a quem solicito sejam cientificados formalmente do teor desta - para que, em caráter peremptório, se abstenham de apresentar, ministrar, ensinar, ou por outra forma, informar qualquer dos temas relativos a matéria descrita no preâmbulo desta ao meu filho,</w:t>
      </w:r>
      <w:r>
        <w:rPr>
          <w:sz w:val="27"/>
          <w:szCs w:val="27"/>
        </w:rPr>
        <w:t xml:space="preserve"> sem meu prévio e expresso consentimento, respeitando meu direito legal na formação moral do infante, assim como para que seja o mesmo respeitado em sua fragilidade psicológica e condição de pessoa em desenvolvimento.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 xml:space="preserve">A presente também é útil para que V.Sa. e os professores se protejam de políticas públicas e materiais didáticos ilegais e abusivos, até porque a responsabilidade pela indenização do dano moral será do professor ou direção de escola que permitir o acesso de aluno a material didático impróprio ou ministrar a aula com conteúdo indevido.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</w:rPr>
        <w:t xml:space="preserve">A título de exemplo, a justiça condenou escola a pagar 30 mil reais de indenização por danos morais a família de aluna de 11 anos de idade, por haver permitido o acesso da criança a livro com conteúdo pornográfico. (Tribunal de Justiça do Distrito Federal, 2015) 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sz w:val="27"/>
          <w:szCs w:val="27"/>
        </w:rPr>
        <w:t>Esclareço que a presente notificação extrajudicial previne responsabilidades civis, criminais e administrativas.</w:t>
      </w:r>
    </w:p>
    <w:p w:rsidR="00B11D1C" w:rsidRDefault="00B11D1C" w:rsidP="00B11D1C">
      <w:pPr>
        <w:spacing w:before="100" w:beforeAutospacing="1" w:after="100" w:afterAutospacing="1"/>
        <w:ind w:firstLine="567"/>
        <w:jc w:val="both"/>
      </w:pPr>
      <w:r>
        <w:rPr>
          <w:b/>
          <w:bCs/>
          <w:sz w:val="27"/>
          <w:szCs w:val="27"/>
          <w:u w:val="single"/>
        </w:rPr>
        <w:t>(NOME DO PAI/MAE OU RESPONSÁVEL LEGAL)</w:t>
      </w:r>
    </w:p>
    <w:p w:rsidR="00B11D1C" w:rsidRDefault="00B11D1C">
      <w:bookmarkStart w:id="4" w:name="_GoBack"/>
      <w:bookmarkEnd w:id="4"/>
    </w:p>
    <w:sectPr w:rsidR="00B11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1C"/>
    <w:rsid w:val="00AA0B21"/>
    <w:rsid w:val="00B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6433-DB1C-4BF8-8C82-A8FA854D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Medium" w:eastAsiaTheme="minorHAnsi" w:hAnsi="Franklin Gothic Medium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11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vidaanapolis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6885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2015-10-15T19:17:00Z</dcterms:created>
  <dcterms:modified xsi:type="dcterms:W3CDTF">2015-10-15T19:18:00Z</dcterms:modified>
</cp:coreProperties>
</file>